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F0D3" w14:textId="77777777" w:rsidR="00AB2592" w:rsidRPr="00AB2592" w:rsidRDefault="00AB2592" w:rsidP="009A1F42">
      <w:pPr>
        <w:jc w:val="both"/>
        <w:rPr>
          <w:rFonts w:ascii="Segoe UI Historic" w:hAnsi="Segoe UI Historic" w:cs="Segoe UI Historic"/>
          <w:b/>
          <w:bCs/>
          <w:lang w:val="en-US"/>
        </w:rPr>
      </w:pPr>
      <w:r w:rsidRPr="00AB2592">
        <w:rPr>
          <w:rFonts w:ascii="Segoe UI Historic" w:hAnsi="Segoe UI Historic" w:cs="Segoe UI Historic"/>
          <w:b/>
          <w:bCs/>
          <w:lang w:val="en-US"/>
        </w:rPr>
        <w:t>Modified PBIs and their use in high temperature proton exchange membrane fuel cell applications</w:t>
      </w:r>
    </w:p>
    <w:p w14:paraId="7BA49FF2" w14:textId="77777777" w:rsidR="00AB2592" w:rsidRDefault="00AB2592" w:rsidP="009A1F42">
      <w:pPr>
        <w:jc w:val="both"/>
        <w:rPr>
          <w:rFonts w:ascii="Segoe UI Historic" w:hAnsi="Segoe UI Historic" w:cs="Segoe UI Historic"/>
          <w:lang w:val="en-US"/>
        </w:rPr>
      </w:pPr>
    </w:p>
    <w:p w14:paraId="75990A2F" w14:textId="77777777" w:rsidR="00352B85" w:rsidRPr="009A1F42" w:rsidRDefault="00BC3A2F" w:rsidP="009A1F42">
      <w:pPr>
        <w:jc w:val="both"/>
        <w:rPr>
          <w:rFonts w:ascii="Segoe UI Historic" w:hAnsi="Segoe UI Historic" w:cs="Segoe UI Historic"/>
          <w:lang w:val="en-US"/>
        </w:rPr>
      </w:pPr>
      <w:r w:rsidRPr="009A1F42">
        <w:rPr>
          <w:rFonts w:ascii="Segoe UI Historic" w:hAnsi="Segoe UI Historic" w:cs="Segoe UI Historic"/>
          <w:lang w:val="en-US"/>
        </w:rPr>
        <w:t>High temperature proton exchange membrane fuel cell technology (HT-PEMFC) is highly suitable for heavy-duty mobility application</w:t>
      </w:r>
      <w:r w:rsidR="002174D6">
        <w:rPr>
          <w:rFonts w:ascii="Segoe UI Historic" w:hAnsi="Segoe UI Historic" w:cs="Segoe UI Historic"/>
          <w:lang w:val="en-US"/>
        </w:rPr>
        <w:t>s</w:t>
      </w:r>
      <w:r w:rsidR="002174D6" w:rsidRPr="002174D6">
        <w:rPr>
          <w:rFonts w:ascii="Segoe UI Historic" w:hAnsi="Segoe UI Historic" w:cs="Segoe UI Historic"/>
          <w:vertAlign w:val="superscript"/>
          <w:lang w:val="en-US"/>
        </w:rPr>
        <w:t>1</w:t>
      </w:r>
      <w:r w:rsidRPr="009A1F42">
        <w:rPr>
          <w:rFonts w:ascii="Segoe UI Historic" w:hAnsi="Segoe UI Historic" w:cs="Segoe UI Historic"/>
          <w:lang w:val="en-US"/>
        </w:rPr>
        <w:t>.</w:t>
      </w:r>
      <w:r w:rsidR="00AB2592">
        <w:rPr>
          <w:rFonts w:ascii="Segoe UI Historic" w:hAnsi="Segoe UI Historic" w:cs="Segoe UI Historic"/>
          <w:lang w:val="en-US"/>
        </w:rPr>
        <w:t xml:space="preserve"> </w:t>
      </w:r>
      <w:r w:rsidRPr="009A1F42">
        <w:rPr>
          <w:rFonts w:ascii="Segoe UI Historic" w:hAnsi="Segoe UI Historic" w:cs="Segoe UI Historic"/>
          <w:lang w:val="en-US"/>
        </w:rPr>
        <w:t>Phosphoric acid doped PBI membrane</w:t>
      </w:r>
      <w:r w:rsidR="006974F0">
        <w:rPr>
          <w:rFonts w:ascii="Segoe UI Historic" w:hAnsi="Segoe UI Historic" w:cs="Segoe UI Historic"/>
          <w:lang w:val="en-US"/>
        </w:rPr>
        <w:t>s (PA-PBIs)</w:t>
      </w:r>
      <w:r w:rsidRPr="009A1F42">
        <w:rPr>
          <w:rFonts w:ascii="Segoe UI Historic" w:hAnsi="Segoe UI Historic" w:cs="Segoe UI Historic"/>
          <w:lang w:val="en-US"/>
        </w:rPr>
        <w:t xml:space="preserve"> </w:t>
      </w:r>
      <w:r w:rsidR="006974F0">
        <w:rPr>
          <w:rFonts w:ascii="Segoe UI Historic" w:hAnsi="Segoe UI Historic" w:cs="Segoe UI Historic"/>
          <w:lang w:val="en-US"/>
        </w:rPr>
        <w:t xml:space="preserve">are used as </w:t>
      </w:r>
      <w:r w:rsidRPr="009A1F42">
        <w:rPr>
          <w:rFonts w:ascii="Segoe UI Historic" w:hAnsi="Segoe UI Historic" w:cs="Segoe UI Historic"/>
          <w:lang w:val="en-US"/>
        </w:rPr>
        <w:t xml:space="preserve">a standard component for HT-PEMFC. Nevertheless, </w:t>
      </w:r>
      <w:r w:rsidR="006974F0">
        <w:rPr>
          <w:rFonts w:ascii="Segoe UI Historic" w:hAnsi="Segoe UI Historic" w:cs="Segoe UI Historic"/>
          <w:lang w:val="en-US"/>
        </w:rPr>
        <w:t>PA-PBIs</w:t>
      </w:r>
      <w:r w:rsidRPr="009A1F42">
        <w:rPr>
          <w:rFonts w:ascii="Segoe UI Historic" w:hAnsi="Segoe UI Historic" w:cs="Segoe UI Historic"/>
          <w:lang w:val="en-US"/>
        </w:rPr>
        <w:t xml:space="preserve"> have a few limitations such as trade-off relation between phosphoric acid (PA) uptake and mechanical stability, low intrinsic chemical stability towards radical induced degradation. Furthermore, PA leach out from the membrane</w:t>
      </w:r>
      <w:r w:rsidR="009A1F42" w:rsidRPr="009A1F42">
        <w:rPr>
          <w:rFonts w:ascii="Segoe UI Historic" w:hAnsi="Segoe UI Historic" w:cs="Segoe UI Historic"/>
          <w:lang w:val="en-US"/>
        </w:rPr>
        <w:t>, a process which accelerates at high current densities and thus restricts the maximum usable current density to about 200-400 mA cm</w:t>
      </w:r>
      <w:r w:rsidR="009A1F42" w:rsidRPr="009A1F42">
        <w:rPr>
          <w:rFonts w:ascii="Segoe UI Historic" w:hAnsi="Segoe UI Historic" w:cs="Segoe UI Historic"/>
          <w:vertAlign w:val="superscript"/>
          <w:lang w:val="en-US"/>
        </w:rPr>
        <w:t>-2</w:t>
      </w:r>
      <w:r w:rsidR="009A1F42" w:rsidRPr="009A1F42">
        <w:rPr>
          <w:rFonts w:ascii="Segoe UI Historic" w:hAnsi="Segoe UI Historic" w:cs="Segoe UI Historic"/>
          <w:lang w:val="en-US"/>
        </w:rPr>
        <w:t xml:space="preserve">. </w:t>
      </w:r>
      <w:r w:rsidR="001149F3" w:rsidRPr="009A1F42">
        <w:rPr>
          <w:rFonts w:ascii="Segoe UI Historic" w:hAnsi="Segoe UI Historic" w:cs="Segoe UI Historic"/>
          <w:lang w:val="en-US"/>
        </w:rPr>
        <w:t>For successful commercialization, the membranes should bind the PA more tightly. They should also be made more resistant to radical attack, and the trade-off between phosphoric acid uptake and mechanical stability should be recalibrated to achieve</w:t>
      </w:r>
      <w:r w:rsidR="001D047E">
        <w:rPr>
          <w:rFonts w:ascii="Segoe UI Historic" w:hAnsi="Segoe UI Historic" w:cs="Segoe UI Historic"/>
          <w:lang w:val="en-US"/>
        </w:rPr>
        <w:t xml:space="preserve"> </w:t>
      </w:r>
      <w:r w:rsidR="001149F3" w:rsidRPr="009A1F42">
        <w:rPr>
          <w:rFonts w:ascii="Segoe UI Historic" w:hAnsi="Segoe UI Historic" w:cs="Segoe UI Historic"/>
          <w:lang w:val="en-US"/>
        </w:rPr>
        <w:t xml:space="preserve">more favorable balance. </w:t>
      </w:r>
      <w:r w:rsidR="004925EB">
        <w:rPr>
          <w:rFonts w:ascii="Segoe UI Historic" w:hAnsi="Segoe UI Historic" w:cs="Segoe UI Historic"/>
          <w:lang w:val="en-US"/>
        </w:rPr>
        <w:t xml:space="preserve">In this presentation, the </w:t>
      </w:r>
      <w:r w:rsidR="00CF3993">
        <w:rPr>
          <w:rFonts w:ascii="Segoe UI Historic" w:hAnsi="Segoe UI Historic" w:cs="Segoe UI Historic"/>
          <w:lang w:val="en-US"/>
        </w:rPr>
        <w:t xml:space="preserve">fabrication of </w:t>
      </w:r>
      <w:r w:rsidR="002174D6">
        <w:rPr>
          <w:rFonts w:ascii="Segoe UI Historic" w:hAnsi="Segoe UI Historic" w:cs="Segoe UI Historic"/>
          <w:lang w:val="en-US"/>
        </w:rPr>
        <w:t>modified</w:t>
      </w:r>
      <w:r w:rsidR="004925EB">
        <w:rPr>
          <w:rFonts w:ascii="Segoe UI Historic" w:hAnsi="Segoe UI Historic" w:cs="Segoe UI Historic"/>
          <w:lang w:val="en-US"/>
        </w:rPr>
        <w:t xml:space="preserve"> PBI </w:t>
      </w:r>
      <w:r w:rsidR="00CF3993">
        <w:rPr>
          <w:rFonts w:ascii="Segoe UI Historic" w:hAnsi="Segoe UI Historic" w:cs="Segoe UI Historic"/>
          <w:lang w:val="en-US"/>
        </w:rPr>
        <w:t>high temperature proton exchange membranes (</w:t>
      </w:r>
      <w:r w:rsidR="004925EB">
        <w:rPr>
          <w:rFonts w:ascii="Segoe UI Historic" w:hAnsi="Segoe UI Historic" w:cs="Segoe UI Historic"/>
          <w:lang w:val="en-US"/>
        </w:rPr>
        <w:t>HTPEMs</w:t>
      </w:r>
      <w:r w:rsidR="00CF3993">
        <w:rPr>
          <w:rFonts w:ascii="Segoe UI Historic" w:hAnsi="Segoe UI Historic" w:cs="Segoe UI Historic"/>
          <w:lang w:val="en-US"/>
        </w:rPr>
        <w:t>),</w:t>
      </w:r>
      <w:r w:rsidR="004925EB">
        <w:rPr>
          <w:rFonts w:ascii="Segoe UI Historic" w:hAnsi="Segoe UI Historic" w:cs="Segoe UI Historic"/>
          <w:lang w:val="en-US"/>
        </w:rPr>
        <w:t xml:space="preserve"> </w:t>
      </w:r>
      <w:r w:rsidR="00CF3993">
        <w:rPr>
          <w:rFonts w:ascii="Segoe UI Historic" w:hAnsi="Segoe UI Historic" w:cs="Segoe UI Historic"/>
          <w:lang w:val="en-US"/>
        </w:rPr>
        <w:t>t</w:t>
      </w:r>
      <w:r w:rsidR="002174D6">
        <w:rPr>
          <w:rFonts w:ascii="Segoe UI Historic" w:hAnsi="Segoe UI Historic" w:cs="Segoe UI Historic"/>
          <w:lang w:val="en-US"/>
        </w:rPr>
        <w:t>heir properties</w:t>
      </w:r>
      <w:r w:rsidR="00AB2592">
        <w:rPr>
          <w:rFonts w:ascii="Segoe UI Historic" w:hAnsi="Segoe UI Historic" w:cs="Segoe UI Historic"/>
          <w:lang w:val="en-US"/>
        </w:rPr>
        <w:t xml:space="preserve"> and</w:t>
      </w:r>
      <w:r w:rsidR="002174D6">
        <w:rPr>
          <w:rFonts w:ascii="Segoe UI Historic" w:hAnsi="Segoe UI Historic" w:cs="Segoe UI Historic"/>
          <w:lang w:val="en-US"/>
        </w:rPr>
        <w:t xml:space="preserve"> HT-PEM</w:t>
      </w:r>
      <w:r w:rsidR="00CF3993">
        <w:rPr>
          <w:rFonts w:ascii="Segoe UI Historic" w:hAnsi="Segoe UI Historic" w:cs="Segoe UI Historic"/>
          <w:lang w:val="en-US"/>
        </w:rPr>
        <w:t xml:space="preserve"> fuel cell</w:t>
      </w:r>
      <w:r w:rsidR="002174D6">
        <w:rPr>
          <w:rFonts w:ascii="Segoe UI Historic" w:hAnsi="Segoe UI Historic" w:cs="Segoe UI Historic"/>
          <w:lang w:val="en-US"/>
        </w:rPr>
        <w:t xml:space="preserve"> performances </w:t>
      </w:r>
      <w:r w:rsidR="004925EB">
        <w:rPr>
          <w:rFonts w:ascii="Segoe UI Historic" w:hAnsi="Segoe UI Historic" w:cs="Segoe UI Historic"/>
          <w:lang w:val="en-US"/>
        </w:rPr>
        <w:t xml:space="preserve">are going to </w:t>
      </w:r>
      <w:r w:rsidR="00AB2592">
        <w:rPr>
          <w:rFonts w:ascii="Segoe UI Historic" w:hAnsi="Segoe UI Historic" w:cs="Segoe UI Historic"/>
          <w:lang w:val="en-US"/>
        </w:rPr>
        <w:t xml:space="preserve">be </w:t>
      </w:r>
      <w:r w:rsidR="004925EB">
        <w:rPr>
          <w:rFonts w:ascii="Segoe UI Historic" w:hAnsi="Segoe UI Historic" w:cs="Segoe UI Historic"/>
          <w:lang w:val="en-US"/>
        </w:rPr>
        <w:t>discussed</w:t>
      </w:r>
      <w:r w:rsidR="004925EB" w:rsidRPr="004925EB">
        <w:rPr>
          <w:rFonts w:ascii="Segoe UI Historic" w:hAnsi="Segoe UI Historic" w:cs="Segoe UI Historic"/>
          <w:vertAlign w:val="superscript"/>
          <w:lang w:val="en-US"/>
        </w:rPr>
        <w:t>2,3</w:t>
      </w:r>
      <w:r w:rsidR="004925EB">
        <w:rPr>
          <w:rFonts w:ascii="Segoe UI Historic" w:hAnsi="Segoe UI Historic" w:cs="Segoe UI Historic"/>
          <w:lang w:val="en-US"/>
        </w:rPr>
        <w:t>.</w:t>
      </w:r>
      <w:r w:rsidR="00AB2592">
        <w:rPr>
          <w:rFonts w:ascii="Segoe UI Historic" w:hAnsi="Segoe UI Historic" w:cs="Segoe UI Historic"/>
          <w:lang w:val="en-US"/>
        </w:rPr>
        <w:t xml:space="preserve"> PA doped PBI blends were tested in the HT-PEM single cell</w:t>
      </w:r>
      <w:r w:rsidR="00CF3993" w:rsidRPr="00CF3993">
        <w:rPr>
          <w:rFonts w:ascii="Segoe UI Historic" w:hAnsi="Segoe UI Historic" w:cs="Segoe UI Historic"/>
          <w:vertAlign w:val="superscript"/>
          <w:lang w:val="en-US"/>
        </w:rPr>
        <w:t>4</w:t>
      </w:r>
      <w:r w:rsidR="00AB2592">
        <w:rPr>
          <w:rFonts w:ascii="Segoe UI Historic" w:hAnsi="Segoe UI Historic" w:cs="Segoe UI Historic"/>
          <w:lang w:val="en-US"/>
        </w:rPr>
        <w:t xml:space="preserve"> and </w:t>
      </w:r>
      <w:r w:rsidR="006974F0">
        <w:rPr>
          <w:rFonts w:ascii="Segoe UI Historic" w:hAnsi="Segoe UI Historic" w:cs="Segoe UI Historic"/>
          <w:lang w:val="en-US"/>
        </w:rPr>
        <w:t>one composition of PBI-blend HTPEM</w:t>
      </w:r>
      <w:r w:rsidR="001D047E">
        <w:rPr>
          <w:rFonts w:ascii="Segoe UI Historic" w:hAnsi="Segoe UI Historic" w:cs="Segoe UI Historic"/>
          <w:lang w:val="en-US"/>
        </w:rPr>
        <w:t xml:space="preserve"> </w:t>
      </w:r>
      <w:r w:rsidR="00AB2592">
        <w:rPr>
          <w:rFonts w:ascii="Segoe UI Historic" w:hAnsi="Segoe UI Historic" w:cs="Segoe UI Historic"/>
          <w:lang w:val="en-US"/>
        </w:rPr>
        <w:t xml:space="preserve">showed more than &gt;2000 hours stable, high-performance operation at </w:t>
      </w:r>
      <w:r w:rsidR="001D047E">
        <w:rPr>
          <w:rFonts w:ascii="Segoe UI Historic" w:hAnsi="Segoe UI Historic" w:cs="Segoe UI Historic"/>
          <w:lang w:val="en-US"/>
        </w:rPr>
        <w:t xml:space="preserve">a </w:t>
      </w:r>
      <w:r w:rsidR="00AB2592">
        <w:rPr>
          <w:rFonts w:ascii="Segoe UI Historic" w:hAnsi="Segoe UI Historic" w:cs="Segoe UI Historic"/>
          <w:lang w:val="en-US"/>
        </w:rPr>
        <w:t>very challenging high current density of 800 mA cm</w:t>
      </w:r>
      <w:r w:rsidR="00AB2592" w:rsidRPr="00CF3993">
        <w:rPr>
          <w:rFonts w:ascii="Segoe UI Historic" w:hAnsi="Segoe UI Historic" w:cs="Segoe UI Historic"/>
          <w:vertAlign w:val="superscript"/>
          <w:lang w:val="en-US"/>
        </w:rPr>
        <w:t>-2</w:t>
      </w:r>
      <w:r w:rsidR="00AB2592">
        <w:rPr>
          <w:rFonts w:ascii="Segoe UI Historic" w:hAnsi="Segoe UI Historic" w:cs="Segoe UI Historic"/>
          <w:lang w:val="en-US"/>
        </w:rPr>
        <w:t xml:space="preserve">. It is one of the best results in the world.    </w:t>
      </w:r>
    </w:p>
    <w:p w14:paraId="0B28B645" w14:textId="77777777" w:rsidR="00291D13" w:rsidRDefault="00291D13">
      <w:pPr>
        <w:rPr>
          <w:lang w:val="en-US"/>
        </w:rPr>
      </w:pPr>
    </w:p>
    <w:p w14:paraId="33E53F06" w14:textId="77777777" w:rsidR="004925EB" w:rsidRDefault="004925EB">
      <w:pPr>
        <w:rPr>
          <w:lang w:val="en-US"/>
        </w:rPr>
      </w:pPr>
      <w:r>
        <w:rPr>
          <w:lang w:val="en-US"/>
        </w:rPr>
        <w:t>Reference</w:t>
      </w:r>
    </w:p>
    <w:p w14:paraId="7CAF875E" w14:textId="77777777" w:rsidR="004925EB" w:rsidRDefault="004925EB" w:rsidP="004925EB">
      <w:pPr>
        <w:rPr>
          <w:lang w:val="en-US"/>
        </w:rPr>
      </w:pPr>
    </w:p>
    <w:p w14:paraId="74E91835" w14:textId="77777777" w:rsidR="004925EB" w:rsidRPr="002174D6" w:rsidRDefault="004925EB" w:rsidP="004925EB">
      <w:pPr>
        <w:rPr>
          <w:lang w:val="en-US"/>
        </w:rPr>
      </w:pPr>
      <w:r w:rsidRPr="002174D6">
        <w:rPr>
          <w:lang w:val="en-US"/>
        </w:rPr>
        <w:t xml:space="preserve">1. K.H. Lim et al., Nature Energy, </w:t>
      </w:r>
      <w:r w:rsidR="00CB0F07" w:rsidRPr="002174D6">
        <w:rPr>
          <w:lang w:val="en-US"/>
        </w:rPr>
        <w:t xml:space="preserve">7, 248-259, 2022. </w:t>
      </w:r>
    </w:p>
    <w:p w14:paraId="2D529B39" w14:textId="77777777" w:rsidR="004925EB" w:rsidRDefault="004925EB" w:rsidP="004925EB">
      <w:pPr>
        <w:rPr>
          <w:lang w:val="en-US"/>
        </w:rPr>
      </w:pPr>
      <w:r w:rsidRPr="002174D6">
        <w:rPr>
          <w:lang w:val="en-US"/>
        </w:rPr>
        <w:t xml:space="preserve">2. N. N. Krishnan et al., J. Membr. </w:t>
      </w:r>
      <w:r w:rsidRPr="004925EB">
        <w:rPr>
          <w:lang w:val="en-US"/>
        </w:rPr>
        <w:t>Sci. 588, 2019</w:t>
      </w:r>
      <w:r w:rsidR="00CB0F07">
        <w:rPr>
          <w:lang w:val="en-US"/>
        </w:rPr>
        <w:t>.</w:t>
      </w:r>
    </w:p>
    <w:p w14:paraId="551997D2" w14:textId="77777777" w:rsidR="00CF3993" w:rsidRPr="00CF3993" w:rsidRDefault="00CF3993" w:rsidP="004925EB">
      <w:pPr>
        <w:rPr>
          <w:lang w:val="en-US"/>
        </w:rPr>
      </w:pPr>
      <w:r w:rsidRPr="00CF3993">
        <w:rPr>
          <w:lang w:val="en-US"/>
        </w:rPr>
        <w:t>3. Unpublished results</w:t>
      </w:r>
      <w:r>
        <w:rPr>
          <w:lang w:val="en-US"/>
        </w:rPr>
        <w:t xml:space="preserve">. </w:t>
      </w:r>
    </w:p>
    <w:p w14:paraId="51E24362" w14:textId="77777777" w:rsidR="004925EB" w:rsidRPr="002174D6" w:rsidRDefault="00CF3993" w:rsidP="004925EB">
      <w:pPr>
        <w:rPr>
          <w:lang w:val="en-US"/>
        </w:rPr>
      </w:pPr>
      <w:r>
        <w:rPr>
          <w:lang w:val="en-US"/>
        </w:rPr>
        <w:t>4</w:t>
      </w:r>
      <w:r w:rsidR="004925EB" w:rsidRPr="00CF3993">
        <w:rPr>
          <w:lang w:val="en-US"/>
        </w:rPr>
        <w:t xml:space="preserve">. N. N. Krishnan et al., J. Membr. </w:t>
      </w:r>
      <w:r w:rsidR="004925EB" w:rsidRPr="002174D6">
        <w:rPr>
          <w:lang w:val="en-US"/>
        </w:rPr>
        <w:t>Sci. 614, 2020</w:t>
      </w:r>
      <w:r w:rsidR="00CB0F07" w:rsidRPr="002174D6">
        <w:rPr>
          <w:lang w:val="en-US"/>
        </w:rPr>
        <w:t>.</w:t>
      </w:r>
    </w:p>
    <w:p w14:paraId="703FD63F" w14:textId="77777777" w:rsidR="004925EB" w:rsidRPr="004925EB" w:rsidRDefault="004925EB" w:rsidP="004925EB">
      <w:pPr>
        <w:rPr>
          <w:lang w:val="en-US"/>
        </w:rPr>
      </w:pPr>
    </w:p>
    <w:sectPr w:rsidR="004925EB" w:rsidRPr="004925EB" w:rsidSect="00967A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C3E05"/>
    <w:multiLevelType w:val="hybridMultilevel"/>
    <w:tmpl w:val="8ABA9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56455"/>
    <w:multiLevelType w:val="hybridMultilevel"/>
    <w:tmpl w:val="AFCE1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559868">
    <w:abstractNumId w:val="0"/>
  </w:num>
  <w:num w:numId="2" w16cid:durableId="41223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F3"/>
    <w:rsid w:val="001149F3"/>
    <w:rsid w:val="001D047E"/>
    <w:rsid w:val="002174D6"/>
    <w:rsid w:val="00291D13"/>
    <w:rsid w:val="00352B85"/>
    <w:rsid w:val="004925EB"/>
    <w:rsid w:val="006974F0"/>
    <w:rsid w:val="008D3E56"/>
    <w:rsid w:val="00967A73"/>
    <w:rsid w:val="009A1F42"/>
    <w:rsid w:val="009F772E"/>
    <w:rsid w:val="00A40767"/>
    <w:rsid w:val="00AB2592"/>
    <w:rsid w:val="00BC3A2F"/>
    <w:rsid w:val="00C476A0"/>
    <w:rsid w:val="00CB0F07"/>
    <w:rsid w:val="00C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09F8"/>
  <w15:chartTrackingRefBased/>
  <w15:docId w15:val="{AB9D4EF1-F6D9-F247-93EC-F74B788E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Deepti Kalsi</cp:lastModifiedBy>
  <cp:revision>2</cp:revision>
  <dcterms:created xsi:type="dcterms:W3CDTF">2023-11-20T02:33:00Z</dcterms:created>
  <dcterms:modified xsi:type="dcterms:W3CDTF">2023-11-20T02:33:00Z</dcterms:modified>
</cp:coreProperties>
</file>